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auto"/>
        <w:jc w:val="center"/>
        <w:tblCellMar>
          <w:left w:w="0" w:type="dxa"/>
          <w:right w:w="0" w:type="dxa"/>
        </w:tblCellMar>
        <w:tblLook w:val="04A0" w:firstRow="1" w:lastRow="0" w:firstColumn="1" w:lastColumn="0" w:noHBand="0" w:noVBand="1"/>
      </w:tblPr>
      <w:tblGrid>
        <w:gridCol w:w="9104"/>
      </w:tblGrid>
      <w:tr w:rsidR="00E75387" w:rsidRPr="00E75387" w14:paraId="682CE3F6" w14:textId="77777777" w:rsidTr="00E75387">
        <w:trPr>
          <w:jc w:val="center"/>
        </w:trPr>
        <w:tc>
          <w:tcPr>
            <w:tcW w:w="9104" w:type="dxa"/>
            <w:tcMar>
              <w:top w:w="0" w:type="dxa"/>
              <w:left w:w="108" w:type="dxa"/>
              <w:bottom w:w="0" w:type="dxa"/>
              <w:right w:w="108" w:type="dxa"/>
            </w:tcMar>
            <w:hideMark/>
          </w:tcPr>
          <w:tbl>
            <w:tblPr>
              <w:tblW w:w="8789" w:type="dxa"/>
              <w:jc w:val="center"/>
              <w:tblCellMar>
                <w:left w:w="0" w:type="dxa"/>
                <w:right w:w="0" w:type="dxa"/>
              </w:tblCellMar>
              <w:tblLook w:val="04A0" w:firstRow="1" w:lastRow="0" w:firstColumn="1" w:lastColumn="0" w:noHBand="0" w:noVBand="1"/>
            </w:tblPr>
            <w:tblGrid>
              <w:gridCol w:w="2931"/>
              <w:gridCol w:w="2931"/>
              <w:gridCol w:w="2927"/>
            </w:tblGrid>
            <w:tr w:rsidR="00E75387" w:rsidRPr="00E75387" w14:paraId="68F11E01" w14:textId="77777777">
              <w:trPr>
                <w:trHeight w:val="317"/>
                <w:jc w:val="center"/>
              </w:trPr>
              <w:tc>
                <w:tcPr>
                  <w:tcW w:w="2931" w:type="dxa"/>
                  <w:tcBorders>
                    <w:top w:val="nil"/>
                    <w:left w:val="nil"/>
                    <w:bottom w:val="single" w:sz="8" w:space="0" w:color="660066"/>
                    <w:right w:val="nil"/>
                  </w:tcBorders>
                  <w:tcMar>
                    <w:top w:w="0" w:type="dxa"/>
                    <w:left w:w="108" w:type="dxa"/>
                    <w:bottom w:w="0" w:type="dxa"/>
                    <w:right w:w="108" w:type="dxa"/>
                  </w:tcMar>
                  <w:vAlign w:val="center"/>
                  <w:hideMark/>
                </w:tcPr>
                <w:p w14:paraId="5ECCAB27" w14:textId="77777777" w:rsidR="00E75387" w:rsidRPr="00E75387" w:rsidRDefault="00E75387" w:rsidP="00E75387">
                  <w:pPr>
                    <w:spacing w:after="0" w:line="240" w:lineRule="atLeast"/>
                    <w:rPr>
                      <w:rFonts w:ascii="Times New Roman" w:eastAsia="Times New Roman" w:hAnsi="Times New Roman" w:cs="Times New Roman"/>
                      <w:sz w:val="24"/>
                      <w:szCs w:val="24"/>
                    </w:rPr>
                  </w:pPr>
                  <w:r w:rsidRPr="00E75387">
                    <w:rPr>
                      <w:rFonts w:ascii="Arial" w:eastAsia="Times New Roman" w:hAnsi="Arial" w:cs="Arial"/>
                      <w:sz w:val="16"/>
                      <w:szCs w:val="16"/>
                    </w:rPr>
                    <w:t>WEDNESDAY, 24 June 2020</w:t>
                  </w:r>
                </w:p>
              </w:tc>
              <w:tc>
                <w:tcPr>
                  <w:tcW w:w="2931" w:type="dxa"/>
                  <w:tcBorders>
                    <w:top w:val="nil"/>
                    <w:left w:val="nil"/>
                    <w:bottom w:val="single" w:sz="8" w:space="0" w:color="660066"/>
                    <w:right w:val="nil"/>
                  </w:tcBorders>
                  <w:tcMar>
                    <w:top w:w="0" w:type="dxa"/>
                    <w:left w:w="108" w:type="dxa"/>
                    <w:bottom w:w="0" w:type="dxa"/>
                    <w:right w:w="108" w:type="dxa"/>
                  </w:tcMar>
                  <w:vAlign w:val="center"/>
                  <w:hideMark/>
                </w:tcPr>
                <w:p w14:paraId="6CCED786" w14:textId="77777777" w:rsidR="00E75387" w:rsidRPr="00E75387" w:rsidRDefault="00E75387" w:rsidP="00E75387">
                  <w:pPr>
                    <w:spacing w:after="0" w:line="240" w:lineRule="atLeast"/>
                    <w:jc w:val="center"/>
                    <w:rPr>
                      <w:rFonts w:ascii="Times New Roman" w:eastAsia="Times New Roman" w:hAnsi="Times New Roman" w:cs="Times New Roman"/>
                      <w:sz w:val="24"/>
                      <w:szCs w:val="24"/>
                    </w:rPr>
                  </w:pPr>
                  <w:r w:rsidRPr="00E75387">
                    <w:rPr>
                      <w:rFonts w:ascii="Palatino Linotype" w:eastAsia="Times New Roman" w:hAnsi="Palatino Linotype" w:cs="Times New Roman"/>
                      <w:b/>
                      <w:bCs/>
                      <w:color w:val="800000"/>
                      <w:sz w:val="24"/>
                      <w:szCs w:val="24"/>
                    </w:rPr>
                    <w:t>Official newspaper</w:t>
                  </w:r>
                </w:p>
              </w:tc>
              <w:tc>
                <w:tcPr>
                  <w:tcW w:w="2927" w:type="dxa"/>
                  <w:tcBorders>
                    <w:top w:val="nil"/>
                    <w:left w:val="nil"/>
                    <w:bottom w:val="single" w:sz="8" w:space="0" w:color="660066"/>
                    <w:right w:val="nil"/>
                  </w:tcBorders>
                  <w:tcMar>
                    <w:top w:w="0" w:type="dxa"/>
                    <w:left w:w="108" w:type="dxa"/>
                    <w:bottom w:w="0" w:type="dxa"/>
                    <w:right w:w="108" w:type="dxa"/>
                  </w:tcMar>
                  <w:vAlign w:val="center"/>
                  <w:hideMark/>
                </w:tcPr>
                <w:p w14:paraId="562F2025" w14:textId="77777777" w:rsidR="00E75387" w:rsidRPr="00E75387" w:rsidRDefault="00E75387" w:rsidP="00E75387">
                  <w:pPr>
                    <w:spacing w:before="100" w:beforeAutospacing="1" w:after="100" w:afterAutospacing="1" w:line="240" w:lineRule="auto"/>
                    <w:jc w:val="right"/>
                    <w:rPr>
                      <w:rFonts w:ascii="Times New Roman" w:eastAsia="Times New Roman" w:hAnsi="Times New Roman" w:cs="Times New Roman"/>
                      <w:sz w:val="24"/>
                      <w:szCs w:val="24"/>
                    </w:rPr>
                  </w:pPr>
                  <w:r w:rsidRPr="00E75387">
                    <w:rPr>
                      <w:rFonts w:ascii="Arial" w:eastAsia="Times New Roman" w:hAnsi="Arial" w:cs="Arial"/>
                      <w:sz w:val="16"/>
                      <w:szCs w:val="16"/>
                    </w:rPr>
                    <w:t>Issue: 31165</w:t>
                  </w:r>
                </w:p>
              </w:tc>
            </w:tr>
            <w:tr w:rsidR="00E75387" w:rsidRPr="00E75387" w14:paraId="2B745A53" w14:textId="77777777">
              <w:trPr>
                <w:trHeight w:val="480"/>
                <w:jc w:val="center"/>
              </w:trPr>
              <w:tc>
                <w:tcPr>
                  <w:tcW w:w="8789" w:type="dxa"/>
                  <w:gridSpan w:val="3"/>
                  <w:tcMar>
                    <w:top w:w="0" w:type="dxa"/>
                    <w:left w:w="108" w:type="dxa"/>
                    <w:bottom w:w="0" w:type="dxa"/>
                    <w:right w:w="108" w:type="dxa"/>
                  </w:tcMar>
                  <w:vAlign w:val="center"/>
                  <w:hideMark/>
                </w:tcPr>
                <w:p w14:paraId="05190228" w14:textId="77777777" w:rsidR="00E75387" w:rsidRPr="00E75387" w:rsidRDefault="00E75387" w:rsidP="00E75387">
                  <w:pPr>
                    <w:spacing w:before="100" w:beforeAutospacing="1" w:after="100" w:afterAutospacing="1" w:line="240" w:lineRule="auto"/>
                    <w:jc w:val="center"/>
                    <w:rPr>
                      <w:rFonts w:ascii="Times New Roman" w:eastAsia="Times New Roman" w:hAnsi="Times New Roman" w:cs="Times New Roman"/>
                      <w:sz w:val="24"/>
                      <w:szCs w:val="24"/>
                    </w:rPr>
                  </w:pPr>
                  <w:r w:rsidRPr="00E75387">
                    <w:rPr>
                      <w:rFonts w:ascii="Arial" w:eastAsia="Times New Roman" w:hAnsi="Arial" w:cs="Arial"/>
                      <w:b/>
                      <w:bCs/>
                      <w:color w:val="000080"/>
                      <w:sz w:val="18"/>
                      <w:szCs w:val="18"/>
                    </w:rPr>
                    <w:t>NOTIFICATION</w:t>
                  </w:r>
                </w:p>
              </w:tc>
            </w:tr>
            <w:tr w:rsidR="00E75387" w:rsidRPr="00E75387" w14:paraId="2EE116A4" w14:textId="77777777">
              <w:trPr>
                <w:trHeight w:val="480"/>
                <w:jc w:val="center"/>
              </w:trPr>
              <w:tc>
                <w:tcPr>
                  <w:tcW w:w="8789" w:type="dxa"/>
                  <w:gridSpan w:val="3"/>
                  <w:tcMar>
                    <w:top w:w="0" w:type="dxa"/>
                    <w:left w:w="108" w:type="dxa"/>
                    <w:bottom w:w="0" w:type="dxa"/>
                    <w:right w:w="108" w:type="dxa"/>
                  </w:tcMar>
                  <w:vAlign w:val="center"/>
                  <w:hideMark/>
                </w:tcPr>
                <w:p w14:paraId="29B9F8EC" w14:textId="77777777" w:rsidR="00E75387" w:rsidRPr="00E75387" w:rsidRDefault="00E75387" w:rsidP="00E75387">
                  <w:pPr>
                    <w:spacing w:after="0" w:line="240" w:lineRule="atLeast"/>
                    <w:ind w:firstLine="566"/>
                    <w:jc w:val="both"/>
                    <w:rPr>
                      <w:rFonts w:ascii="Times New Roman" w:eastAsia="Times New Roman" w:hAnsi="Times New Roman" w:cs="Times New Roman"/>
                      <w:u w:val="single"/>
                    </w:rPr>
                  </w:pPr>
                  <w:r w:rsidRPr="00E75387">
                    <w:rPr>
                      <w:rFonts w:ascii="Times New Roman" w:eastAsia="Times New Roman" w:hAnsi="Times New Roman" w:cs="Times New Roman"/>
                      <w:sz w:val="18"/>
                      <w:szCs w:val="18"/>
                      <w:u w:val="single"/>
                    </w:rPr>
                    <w:t>From the Ministry of Commerce:</w:t>
                  </w:r>
                </w:p>
                <w:p w14:paraId="5E8F363F" w14:textId="77777777" w:rsidR="00E75387" w:rsidRPr="00E75387" w:rsidRDefault="00E75387" w:rsidP="00E75387">
                  <w:pPr>
                    <w:spacing w:before="56" w:after="0" w:line="240" w:lineRule="atLeast"/>
                    <w:jc w:val="center"/>
                    <w:rPr>
                      <w:rFonts w:ascii="Times New Roman" w:eastAsia="Times New Roman" w:hAnsi="Times New Roman" w:cs="Times New Roman"/>
                      <w:b/>
                      <w:bCs/>
                      <w:sz w:val="19"/>
                      <w:szCs w:val="19"/>
                    </w:rPr>
                  </w:pPr>
                  <w:r w:rsidRPr="00E75387">
                    <w:rPr>
                      <w:rFonts w:ascii="Times New Roman" w:eastAsia="Times New Roman" w:hAnsi="Times New Roman" w:cs="Times New Roman"/>
                      <w:b/>
                      <w:bCs/>
                      <w:sz w:val="18"/>
                      <w:szCs w:val="18"/>
                    </w:rPr>
                    <w:t>COMMUNIQUE ON PREVENTION OF UNRIGHTED COMPETITION IN IMPORT</w:t>
                  </w:r>
                </w:p>
                <w:p w14:paraId="3720F7CA" w14:textId="77777777" w:rsidR="00E75387" w:rsidRPr="00E75387" w:rsidRDefault="00E75387" w:rsidP="00E75387">
                  <w:pPr>
                    <w:spacing w:after="170" w:line="240" w:lineRule="atLeast"/>
                    <w:jc w:val="center"/>
                    <w:rPr>
                      <w:rFonts w:ascii="Times New Roman" w:eastAsia="Times New Roman" w:hAnsi="Times New Roman" w:cs="Times New Roman"/>
                      <w:b/>
                      <w:bCs/>
                      <w:sz w:val="19"/>
                      <w:szCs w:val="19"/>
                    </w:rPr>
                  </w:pPr>
                  <w:r w:rsidRPr="00E75387">
                    <w:rPr>
                      <w:rFonts w:ascii="Times New Roman" w:eastAsia="Times New Roman" w:hAnsi="Times New Roman" w:cs="Times New Roman"/>
                      <w:b/>
                      <w:bCs/>
                      <w:sz w:val="18"/>
                      <w:szCs w:val="18"/>
                    </w:rPr>
                    <w:t>(COMMUNIQUE NO: 2020/13)</w:t>
                  </w:r>
                </w:p>
                <w:p w14:paraId="06CEBF40"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Purpose and scope</w:t>
                  </w:r>
                </w:p>
                <w:p w14:paraId="448BBCF0"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ARTICLE 1 -</w:t>
                  </w:r>
                  <w:r w:rsidRPr="00E75387">
                    <w:rPr>
                      <w:rFonts w:ascii="Times New Roman" w:eastAsia="Times New Roman" w:hAnsi="Times New Roman" w:cs="Times New Roman"/>
                      <w:sz w:val="18"/>
                      <w:szCs w:val="18"/>
                    </w:rPr>
                    <w:t xml:space="preserve"> (1) The purpose of this Communiqué is the domestic producer </w:t>
                  </w:r>
                  <w:proofErr w:type="spellStart"/>
                  <w:r w:rsidRPr="00E75387">
                    <w:rPr>
                      <w:rFonts w:ascii="Times New Roman" w:eastAsia="Times New Roman" w:hAnsi="Times New Roman" w:cs="Times New Roman"/>
                      <w:sz w:val="18"/>
                      <w:szCs w:val="18"/>
                    </w:rPr>
                    <w:t>Marcegaglia</w:t>
                  </w:r>
                  <w:proofErr w:type="spellEnd"/>
                  <w:r w:rsidRPr="00E75387">
                    <w:rPr>
                      <w:rFonts w:ascii="Times New Roman" w:eastAsia="Times New Roman" w:hAnsi="Times New Roman" w:cs="Times New Roman"/>
                      <w:sz w:val="18"/>
                      <w:szCs w:val="18"/>
                    </w:rPr>
                    <w:t xml:space="preserve"> TR Stainless Steel Industry and Trade Inc. According to the application made by the "Socialist Republic of Vietnam" 7306.40.20.90.00 and 7306.40.80.90.00 under the customs tariff statistic positions, "Others" and "Stainless steel" products under the customs tariff statistic position. dumping investigation and determining the procedures and principles of the investigation.</w:t>
                  </w:r>
                </w:p>
                <w:p w14:paraId="3FDC0FFD"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Rest</w:t>
                  </w:r>
                </w:p>
                <w:p w14:paraId="785E3DB7"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ARTICLE 2 - </w:t>
                  </w:r>
                  <w:r w:rsidRPr="00E75387">
                    <w:rPr>
                      <w:rFonts w:ascii="Times New Roman" w:eastAsia="Times New Roman" w:hAnsi="Times New Roman" w:cs="Times New Roman"/>
                      <w:sz w:val="18"/>
                      <w:szCs w:val="18"/>
                    </w:rPr>
                    <w:t xml:space="preserve">(1) This Communiqué, the Law on the Prevention of Unfair Competition in Imports dated 14/6/1989 and numbered 3577, Decision on the Prevention of Unfair Competition in Imports and 30, which was enforced by the Decree of the Council of Ministers dated 20/10/1999 and numbered 30/30. It has been prepared </w:t>
                  </w:r>
                  <w:proofErr w:type="gramStart"/>
                  <w:r w:rsidRPr="00E75387">
                    <w:rPr>
                      <w:rFonts w:ascii="Times New Roman" w:eastAsia="Times New Roman" w:hAnsi="Times New Roman" w:cs="Times New Roman"/>
                      <w:sz w:val="18"/>
                      <w:szCs w:val="18"/>
                    </w:rPr>
                    <w:t>on the basis of</w:t>
                  </w:r>
                  <w:proofErr w:type="gramEnd"/>
                  <w:r w:rsidRPr="00E75387">
                    <w:rPr>
                      <w:rFonts w:ascii="Times New Roman" w:eastAsia="Times New Roman" w:hAnsi="Times New Roman" w:cs="Times New Roman"/>
                      <w:sz w:val="18"/>
                      <w:szCs w:val="18"/>
                    </w:rPr>
                    <w:t xml:space="preserve"> the Regulation on the Prevention of Unfair Competition in Imports published in the Official Gazette No. 23861/10/1999.</w:t>
                  </w:r>
                </w:p>
                <w:p w14:paraId="52728965"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Definitions</w:t>
                  </w:r>
                </w:p>
                <w:p w14:paraId="0F0DC189"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ARTICLE 3 - </w:t>
                  </w:r>
                  <w:r w:rsidRPr="00E75387">
                    <w:rPr>
                      <w:rFonts w:ascii="Times New Roman" w:eastAsia="Times New Roman" w:hAnsi="Times New Roman" w:cs="Times New Roman"/>
                      <w:sz w:val="18"/>
                      <w:szCs w:val="18"/>
                    </w:rPr>
                    <w:t xml:space="preserve">(1) In this </w:t>
                  </w:r>
                  <w:proofErr w:type="gramStart"/>
                  <w:r w:rsidRPr="00E75387">
                    <w:rPr>
                      <w:rFonts w:ascii="Times New Roman" w:eastAsia="Times New Roman" w:hAnsi="Times New Roman" w:cs="Times New Roman"/>
                      <w:sz w:val="18"/>
                      <w:szCs w:val="18"/>
                    </w:rPr>
                    <w:t>Communiqué;</w:t>
                  </w:r>
                  <w:proofErr w:type="gramEnd"/>
                </w:p>
                <w:p w14:paraId="1DC65015"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a) Ministry: Ministry of Commerce,</w:t>
                  </w:r>
                </w:p>
                <w:p w14:paraId="5BFAE8A7"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b) General Directorate: Ministry Import General Directorate,</w:t>
                  </w:r>
                </w:p>
                <w:p w14:paraId="43BC4342"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c) HS Code: Customs tariff statistic position,</w:t>
                  </w:r>
                </w:p>
                <w:p w14:paraId="286D06BB"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ç) REM: The registered e-mail address,</w:t>
                  </w:r>
                </w:p>
                <w:p w14:paraId="79A7FFE8"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d) TGTC: Turkish Customs Tariff Schedule Divided into Statistical Positions,</w:t>
                  </w:r>
                </w:p>
                <w:p w14:paraId="3D116E87"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e) TSI: Turkey Statistical Institute,</w:t>
                  </w:r>
                </w:p>
                <w:p w14:paraId="60CA05A3"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f) Vietnam: The Socialist Republic of Vietnam,</w:t>
                  </w:r>
                </w:p>
                <w:p w14:paraId="41471AD4"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g) Regulation: Regulation on Prevention of Unfair Competition in Imports published in the Official Gazette dated 30/10/1999 and numbered 23861,</w:t>
                  </w:r>
                </w:p>
                <w:p w14:paraId="5FDCFDF9"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express.</w:t>
                  </w:r>
                </w:p>
                <w:p w14:paraId="3C0813D2"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Product subject to investigation</w:t>
                  </w:r>
                </w:p>
                <w:p w14:paraId="1CED3B61"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ARTICLE 4 -</w:t>
                  </w:r>
                  <w:r w:rsidRPr="00E75387">
                    <w:rPr>
                      <w:rFonts w:ascii="Times New Roman" w:eastAsia="Times New Roman" w:hAnsi="Times New Roman" w:cs="Times New Roman"/>
                      <w:sz w:val="18"/>
                      <w:szCs w:val="18"/>
                    </w:rPr>
                    <w:t> (1) The product subject to the investigation is “Others” under the GTIP of 7306.40.20.90.00 and 7306.40.80.90.00, and “Stainless steel” under the GTIP of 7306.61.10.00.00. </w:t>
                  </w:r>
                </w:p>
                <w:p w14:paraId="540BB4C8"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(2) The said GTIPs are provided for informational purposes only and are not binding.</w:t>
                  </w:r>
                </w:p>
                <w:p w14:paraId="60232D81"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(3) Changes to be made in the tariff position of the product in TGTC and / or the definition of goods do not prevent the implementation of the provisions of this Communiqué.</w:t>
                  </w:r>
                </w:p>
                <w:p w14:paraId="40958754"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Representation quality of the application</w:t>
                  </w:r>
                </w:p>
                <w:p w14:paraId="437576B6"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ARTICLE 5 -</w:t>
                  </w:r>
                  <w:r w:rsidRPr="00E75387">
                    <w:rPr>
                      <w:rFonts w:ascii="Times New Roman" w:eastAsia="Times New Roman" w:hAnsi="Times New Roman" w:cs="Times New Roman"/>
                      <w:sz w:val="18"/>
                      <w:szCs w:val="18"/>
                    </w:rPr>
                    <w:t xml:space="preserve"> (1) Among the evidences presented at the application stage, it is understood that the domestic producer </w:t>
                  </w:r>
                  <w:proofErr w:type="spellStart"/>
                  <w:r w:rsidRPr="00E75387">
                    <w:rPr>
                      <w:rFonts w:ascii="Times New Roman" w:eastAsia="Times New Roman" w:hAnsi="Times New Roman" w:cs="Times New Roman"/>
                      <w:sz w:val="18"/>
                      <w:szCs w:val="18"/>
                    </w:rPr>
                    <w:t>Marcegaglia</w:t>
                  </w:r>
                  <w:proofErr w:type="spellEnd"/>
                  <w:r w:rsidRPr="00E75387">
                    <w:rPr>
                      <w:rFonts w:ascii="Times New Roman" w:eastAsia="Times New Roman" w:hAnsi="Times New Roman" w:cs="Times New Roman"/>
                      <w:sz w:val="18"/>
                      <w:szCs w:val="18"/>
                    </w:rPr>
                    <w:t xml:space="preserve"> TR Stainless Steel Industry and Trade Inc., which is understood to have the quality of representing the domestic production branch within the frame of article 18 of the Regulation. It has been understood that the application made by the company was made on behalf of the local branch of production in accordance with Article 20 of the Regulation. In this context, the company in question will be referred to as the “local production branch” in the relevant sections of this Communiqué.</w:t>
                  </w:r>
                </w:p>
                <w:p w14:paraId="0C57EBC1"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Dumping claim</w:t>
                  </w:r>
                </w:p>
                <w:p w14:paraId="23FBF11B"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ARTICLE 6 -</w:t>
                  </w:r>
                  <w:r w:rsidRPr="00E75387">
                    <w:rPr>
                      <w:rFonts w:ascii="Times New Roman" w:eastAsia="Times New Roman" w:hAnsi="Times New Roman" w:cs="Times New Roman"/>
                      <w:sz w:val="18"/>
                      <w:szCs w:val="18"/>
                    </w:rPr>
                    <w:t> (1) In determining the normal value, the valid domestic market prices in Vietnam could not be reached and the established normal value was used. In this context, normal value for the product concerned in general similar to the commodity unit cost of manufacture of 2019 in Turkey, administrative and finance expenses, selling expenses and was created by adding a reasonable profit and has accepted that the said value of the ex-factory stage is in.</w:t>
                  </w:r>
                </w:p>
                <w:p w14:paraId="135D4FCF"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(2) In order to determine the export value, using the TURKSTAT data for 2019, the average export price of the product under investigation from Vietnam was taken into consideration. It is accepted that the mentioned value is at the ex-factory stage by deducting the external freight and insurance costs from the said export price.</w:t>
                  </w:r>
                </w:p>
                <w:p w14:paraId="7DCB781C"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lastRenderedPageBreak/>
                    <w:t>(3) Those issue price to Turkey normal value determined as described in the same commercial stage as far as possible, i.e., ex step has been compared in Vietnamese origin products because it is calculated Regulation of dumping margin Article 28 of the mentioned above ratio is negligible has been identified.</w:t>
                  </w:r>
                </w:p>
                <w:p w14:paraId="01CBC80E"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Material damage / material damage threat and causality claim</w:t>
                  </w:r>
                </w:p>
                <w:p w14:paraId="01C67A8F"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ARTICLE 7 -</w:t>
                  </w:r>
                  <w:r w:rsidRPr="00E75387">
                    <w:rPr>
                      <w:rFonts w:ascii="Times New Roman" w:eastAsia="Times New Roman" w:hAnsi="Times New Roman" w:cs="Times New Roman"/>
                      <w:sz w:val="18"/>
                      <w:szCs w:val="18"/>
                    </w:rPr>
                    <w:t> (1) Claims of property damage / property damage threat have been examined within the scope of article 17 of the Regulation.</w:t>
                  </w:r>
                </w:p>
                <w:p w14:paraId="36587FA4"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 xml:space="preserve">(2) Imports of products originating from the investigation of Vietnam have decreased in absolute terms in 2017-2019 </w:t>
                  </w:r>
                  <w:proofErr w:type="gramStart"/>
                  <w:r w:rsidRPr="00E75387">
                    <w:rPr>
                      <w:rFonts w:ascii="Times New Roman" w:eastAsia="Times New Roman" w:hAnsi="Times New Roman" w:cs="Times New Roman"/>
                      <w:sz w:val="18"/>
                      <w:szCs w:val="18"/>
                    </w:rPr>
                    <w:t>period, but</w:t>
                  </w:r>
                  <w:proofErr w:type="gramEnd"/>
                  <w:r w:rsidRPr="00E75387">
                    <w:rPr>
                      <w:rFonts w:ascii="Times New Roman" w:eastAsia="Times New Roman" w:hAnsi="Times New Roman" w:cs="Times New Roman"/>
                      <w:sz w:val="18"/>
                      <w:szCs w:val="18"/>
                    </w:rPr>
                    <w:t xml:space="preserve"> have increased relatively.</w:t>
                  </w:r>
                </w:p>
                <w:p w14:paraId="7C25902F"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(3) It was determined that the unit prices of the imports from the country under investigation in 2017-2019 broke and suppressed the prices of the domestic production branch.</w:t>
                  </w:r>
                </w:p>
                <w:p w14:paraId="48195CED"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(4) In the evaluation made by using the information, documents and evidences presented by the local production branch regarding the damage; It was evaluated that production, capacity utilization rate, domestic and international unit sales prices decreased in 2019 compared to 2017, domestic sales amount and employment decreased in 2017-2019, domestic production branch suffered from domestic sales.</w:t>
                  </w:r>
                </w:p>
                <w:p w14:paraId="100EC1B3"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(5) It is understood that Vietnam has an important position in the global market in terms of the product subject to investigation in terms of production capacity and export capability.</w:t>
                  </w:r>
                </w:p>
                <w:p w14:paraId="21299C16"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(6) In the light of the evidences made on the basis of the evidence and official statistics regarding the import at the application stage, it is evaluated that the import originating from Vietnam, which is alleged to be dumped, causes the threat of material damage / material damage in the economic indicators of the domestic production branch.</w:t>
                  </w:r>
                </w:p>
                <w:p w14:paraId="5455CA56"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Decisions and procedures</w:t>
                  </w:r>
                </w:p>
                <w:p w14:paraId="7A4036FB"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ARTICLE 8 -</w:t>
                  </w:r>
                  <w:r w:rsidRPr="00E75387">
                    <w:rPr>
                      <w:rFonts w:ascii="Times New Roman" w:eastAsia="Times New Roman" w:hAnsi="Times New Roman" w:cs="Times New Roman"/>
                      <w:sz w:val="18"/>
                      <w:szCs w:val="18"/>
                    </w:rPr>
                    <w:t> (1) As a result of the examination, it was understood that there was sufficient information, documents and evidence to open a dumping investigation, and a dumping investigation was opened within the framework of Article 20 of the Regulation for the product subject to the Vietnam-based investigation with the decision of the Evaluation Committee on Unfair Competition in Imports.</w:t>
                  </w:r>
                </w:p>
                <w:p w14:paraId="0C8A310D"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Market economy assessment</w:t>
                  </w:r>
                </w:p>
                <w:p w14:paraId="2C88688F" w14:textId="6C8DC86C"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ARTICLE 9 -</w:t>
                  </w:r>
                  <w:r w:rsidRPr="00E75387">
                    <w:rPr>
                      <w:rFonts w:ascii="Times New Roman" w:eastAsia="Times New Roman" w:hAnsi="Times New Roman" w:cs="Times New Roman"/>
                      <w:sz w:val="18"/>
                      <w:szCs w:val="18"/>
                    </w:rPr>
                    <w:t> (1) In the event that producers or producers subject to investigation in Vietnam prove that the market economy conditions are valid within the periods specified in Article 12, in the production and sale of the product subject to the investigation, Article 5 of the Regulation shall be applied in the determination of the normal value, otherwise the provisions of the Article 7 of the Regulation. Article 7 of the Directive if the application of the provisions of the name as a precedent for countries implementing market economy is expected to be elected the country Turkey.</w:t>
                  </w:r>
                </w:p>
                <w:p w14:paraId="08200F91"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Notification of the investigation opening to interested parties</w:t>
                  </w:r>
                </w:p>
                <w:p w14:paraId="5101EA71"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ARTICLE 10 -</w:t>
                  </w:r>
                  <w:r w:rsidRPr="00E75387">
                    <w:rPr>
                      <w:rFonts w:ascii="Times New Roman" w:eastAsia="Times New Roman" w:hAnsi="Times New Roman" w:cs="Times New Roman"/>
                      <w:sz w:val="18"/>
                      <w:szCs w:val="18"/>
                    </w:rPr>
                    <w:t> (1) In accordance with Article 23 of the Regulation, subject of the inquiry commodity exporters, foreign manufacturers, importers, members of the majority of professional organizations formed by them, the exporting country's government, similar goods manufacturers in Turkey, the majority members of the profession composed of similar goods manufacturer in Turkey organizations are considered as interested parties. However, those who inform themselves to the competent authority by answering the questionnaires or submitting their opinions within the periods specified in Article 12 are considered as the relevant party in the investigation.</w:t>
                  </w:r>
                </w:p>
                <w:p w14:paraId="518BD6CD"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(2) Following the opening of the investigation, the notification of the opening of the investigation is made to the known producers / exporters residing in the country of the investigation, to the known importers of the product subject to the investigation specified in the application with the Embassy of the country in Ankara in Ankara.</w:t>
                  </w:r>
                </w:p>
                <w:p w14:paraId="7CBC69EF"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(3) The notification includes information on the investigation opening notification, the non-confidential summary of the application and access to questionnaires.</w:t>
                  </w:r>
                </w:p>
                <w:p w14:paraId="6338F281"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(4) Other interested parties, whose notifications could not be sent or notified, "Trade Policy Defense Tools", "Dumping and Subsidy", respectively, from the Ministry 's web site " </w:t>
                  </w:r>
                  <w:r w:rsidRPr="00E75387">
                    <w:rPr>
                      <w:rFonts w:ascii="Times New Roman" w:eastAsia="Times New Roman" w:hAnsi="Times New Roman" w:cs="Times New Roman"/>
                      <w:sz w:val="18"/>
                      <w:szCs w:val="18"/>
                      <w:u w:val="single"/>
                    </w:rPr>
                    <w:t>https://www.ticaret.gov.tr/ithalat</w:t>
                  </w:r>
                  <w:r w:rsidRPr="00E75387">
                    <w:rPr>
                      <w:rFonts w:ascii="Times New Roman" w:eastAsia="Times New Roman" w:hAnsi="Times New Roman" w:cs="Times New Roman"/>
                      <w:sz w:val="18"/>
                      <w:szCs w:val="18"/>
                    </w:rPr>
                    <w:t> ", You can access the related heading of the investigation by following the "Investigations" tabs.</w:t>
                  </w:r>
                </w:p>
                <w:p w14:paraId="1ABC224C"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The competent authority must submit the views and responses of the interested parties.</w:t>
                  </w:r>
                </w:p>
                <w:p w14:paraId="3E7C7282"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ARTICLE 11 -</w:t>
                  </w:r>
                  <w:r w:rsidRPr="00E75387">
                    <w:rPr>
                      <w:rFonts w:ascii="Times New Roman" w:eastAsia="Times New Roman" w:hAnsi="Times New Roman" w:cs="Times New Roman"/>
                      <w:sz w:val="18"/>
                      <w:szCs w:val="18"/>
                    </w:rPr>
                    <w:t> (1) The investigation is carried out by the General Directorate whose contact information is given below.</w:t>
                  </w:r>
                </w:p>
                <w:p w14:paraId="4741C835"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TR Ministry of Commerce</w:t>
                  </w:r>
                </w:p>
                <w:p w14:paraId="41AA7112"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General Directorate of Import</w:t>
                  </w:r>
                </w:p>
                <w:p w14:paraId="42C094E2"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Dumping and Subsidy Department</w:t>
                  </w:r>
                </w:p>
                <w:p w14:paraId="711C77AB"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 xml:space="preserve">Address: </w:t>
                  </w:r>
                  <w:proofErr w:type="spellStart"/>
                  <w:r w:rsidRPr="00E75387">
                    <w:rPr>
                      <w:rFonts w:ascii="Times New Roman" w:eastAsia="Times New Roman" w:hAnsi="Times New Roman" w:cs="Times New Roman"/>
                      <w:sz w:val="18"/>
                      <w:szCs w:val="18"/>
                    </w:rPr>
                    <w:t>Söğütözü</w:t>
                  </w:r>
                  <w:proofErr w:type="spellEnd"/>
                  <w:r w:rsidRPr="00E75387">
                    <w:rPr>
                      <w:rFonts w:ascii="Times New Roman" w:eastAsia="Times New Roman" w:hAnsi="Times New Roman" w:cs="Times New Roman"/>
                      <w:sz w:val="18"/>
                      <w:szCs w:val="18"/>
                    </w:rPr>
                    <w:t xml:space="preserve"> </w:t>
                  </w:r>
                  <w:proofErr w:type="spellStart"/>
                  <w:r w:rsidRPr="00E75387">
                    <w:rPr>
                      <w:rFonts w:ascii="Times New Roman" w:eastAsia="Times New Roman" w:hAnsi="Times New Roman" w:cs="Times New Roman"/>
                      <w:sz w:val="18"/>
                      <w:szCs w:val="18"/>
                    </w:rPr>
                    <w:t>Mah</w:t>
                  </w:r>
                  <w:proofErr w:type="spellEnd"/>
                  <w:r w:rsidRPr="00E75387">
                    <w:rPr>
                      <w:rFonts w:ascii="Times New Roman" w:eastAsia="Times New Roman" w:hAnsi="Times New Roman" w:cs="Times New Roman"/>
                      <w:sz w:val="18"/>
                      <w:szCs w:val="18"/>
                    </w:rPr>
                    <w:t xml:space="preserve">. 2176. </w:t>
                  </w:r>
                  <w:proofErr w:type="spellStart"/>
                  <w:r w:rsidRPr="00E75387">
                    <w:rPr>
                      <w:rFonts w:ascii="Times New Roman" w:eastAsia="Times New Roman" w:hAnsi="Times New Roman" w:cs="Times New Roman"/>
                      <w:sz w:val="18"/>
                      <w:szCs w:val="18"/>
                    </w:rPr>
                    <w:t>Sok</w:t>
                  </w:r>
                  <w:proofErr w:type="spellEnd"/>
                  <w:r w:rsidRPr="00E75387">
                    <w:rPr>
                      <w:rFonts w:ascii="Times New Roman" w:eastAsia="Times New Roman" w:hAnsi="Times New Roman" w:cs="Times New Roman"/>
                      <w:sz w:val="18"/>
                      <w:szCs w:val="18"/>
                    </w:rPr>
                    <w:t xml:space="preserve">. No: 63 </w:t>
                  </w:r>
                  <w:proofErr w:type="spellStart"/>
                  <w:r w:rsidRPr="00E75387">
                    <w:rPr>
                      <w:rFonts w:ascii="Times New Roman" w:eastAsia="Times New Roman" w:hAnsi="Times New Roman" w:cs="Times New Roman"/>
                      <w:sz w:val="18"/>
                      <w:szCs w:val="18"/>
                    </w:rPr>
                    <w:t>Çankaya</w:t>
                  </w:r>
                  <w:proofErr w:type="spellEnd"/>
                  <w:r w:rsidRPr="00E75387">
                    <w:rPr>
                      <w:rFonts w:ascii="Times New Roman" w:eastAsia="Times New Roman" w:hAnsi="Times New Roman" w:cs="Times New Roman"/>
                      <w:sz w:val="18"/>
                      <w:szCs w:val="18"/>
                    </w:rPr>
                    <w:t xml:space="preserve"> / ANKARA</w:t>
                  </w:r>
                </w:p>
                <w:p w14:paraId="6C27C598"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Email: damping@ticaret.gov.tr</w:t>
                  </w:r>
                </w:p>
                <w:p w14:paraId="4CD43667"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Tel: +90 312 204 75 00</w:t>
                  </w:r>
                </w:p>
                <w:p w14:paraId="0437F3B3"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u w:val="single"/>
                    </w:rPr>
                    <w:lastRenderedPageBreak/>
                    <w:t>www.ticaret.gov.t is</w:t>
                  </w:r>
                </w:p>
                <w:p w14:paraId="718CCB2D"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(2) the investigation "resident companies in Turkey institutions and organizations," the ministry official views of their own PEP address with answers to the questionnaire located PEP sends the address below.</w:t>
                  </w:r>
                </w:p>
                <w:p w14:paraId="415B838B"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u w:val="single"/>
                    </w:rPr>
                    <w:t>REM</w:t>
                  </w:r>
                  <w:r w:rsidRPr="00E75387">
                    <w:rPr>
                      <w:rFonts w:ascii="Times New Roman" w:eastAsia="Times New Roman" w:hAnsi="Times New Roman" w:cs="Times New Roman"/>
                      <w:sz w:val="18"/>
                      <w:szCs w:val="18"/>
                    </w:rPr>
                    <w:t> Address: </w:t>
                  </w:r>
                  <w:r w:rsidRPr="00E75387">
                    <w:rPr>
                      <w:rFonts w:ascii="Times New Roman" w:eastAsia="Times New Roman" w:hAnsi="Times New Roman" w:cs="Times New Roman"/>
                      <w:sz w:val="18"/>
                      <w:szCs w:val="18"/>
                      <w:u w:val="single"/>
                    </w:rPr>
                    <w:t>Ekonomi@hs01.kep.tr</w:t>
                  </w:r>
                </w:p>
                <w:p w14:paraId="6ED2519F"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(3) In the investigation, "firms, institutions and organizations residing abroad" send their answers to the questionnaires and their official opinions in physical and electronic (CD / USB) media to the postal address of the Ministry.</w:t>
                  </w:r>
                </w:p>
                <w:p w14:paraId="159230B5"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 xml:space="preserve"> (4) Written and oral communication regarding the investigation is in Turkish. Except for the answers to the questionnaire, no information, documents, </w:t>
                  </w:r>
                  <w:proofErr w:type="gramStart"/>
                  <w:r w:rsidRPr="00E75387">
                    <w:rPr>
                      <w:rFonts w:ascii="Times New Roman" w:eastAsia="Times New Roman" w:hAnsi="Times New Roman" w:cs="Times New Roman"/>
                      <w:sz w:val="18"/>
                      <w:szCs w:val="18"/>
                    </w:rPr>
                    <w:t>opinions</w:t>
                  </w:r>
                  <w:proofErr w:type="gramEnd"/>
                  <w:r w:rsidRPr="00E75387">
                    <w:rPr>
                      <w:rFonts w:ascii="Times New Roman" w:eastAsia="Times New Roman" w:hAnsi="Times New Roman" w:cs="Times New Roman"/>
                      <w:sz w:val="18"/>
                      <w:szCs w:val="18"/>
                    </w:rPr>
                    <w:t xml:space="preserve"> and requests submitted in a language other than Turkish are considered.</w:t>
                  </w:r>
                </w:p>
                <w:p w14:paraId="2463519E"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(5) Answers given to the questionnaire by the related parties, other information, documents, opinions and supporting evidence presented about the investigation are presented in writing unless otherwise stated. In written presentations, the names and titles of the relevant parties, address information, e-mail address, telephone and fax numbers are specified. "Resident companies in Turkey institutions and organizations who want to be related parties of" their own address in written submissions by PEP is indicated.</w:t>
                  </w:r>
                </w:p>
                <w:p w14:paraId="113EE747"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(6) Apart from the information requested in the questionnaire, the relevant parties may submit other information, documents and opinions, which are considered to be related to the investigation, to the General Directorate in writing within the period specified in the second paragraph of Article 12.</w:t>
                  </w:r>
                </w:p>
                <w:p w14:paraId="353B5035"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(7) During the investigation, a non-confidential summary of any information, document and opinion provided in the framework of the second paragraph of Article 22 of the Regulation, provided with confidentiality shall be provided. The non-confidential summary is detailed enough to allow reasonable understanding of essential information. Interested parties may state that in exceptional cases this information is of a nature that cannot be summarized. In such exceptional cases, the reasons why the information may not be summarized should be stated.</w:t>
                  </w:r>
                </w:p>
                <w:p w14:paraId="3F80CAAF"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Deadlines</w:t>
                  </w:r>
                </w:p>
                <w:p w14:paraId="4AEC75B6"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ARTICLE 12 -</w:t>
                  </w:r>
                  <w:r w:rsidRPr="00E75387">
                    <w:rPr>
                      <w:rFonts w:ascii="Times New Roman" w:eastAsia="Times New Roman" w:hAnsi="Times New Roman" w:cs="Times New Roman"/>
                      <w:sz w:val="18"/>
                      <w:szCs w:val="18"/>
                    </w:rPr>
                    <w:t> (1) The time for answering the questionnaire for all interested parties to whom the notification specified in the second paragraph of Article 10 has been sent, is 37 days from the date of notification of the opening of the investigation, including the postal period.</w:t>
                  </w:r>
                </w:p>
                <w:p w14:paraId="6C6CB4A9"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(2) The parties to whom the notification in the fourth paragraph of Article 10 could not be sent, shall provide their responses to the questionnaire and their views on the investigation within 37 days starting from the publication date of this Communiqué.</w:t>
                  </w:r>
                </w:p>
                <w:p w14:paraId="215BA6AA"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(3) Other domestic and foreign parties, who claim that they may be affected by the outcome of the investigation and are not included in the first paragraph of Article 10, may present their opinions within the investigation process in a way that does not affect the flow of the investigation as of the publication of this Communiqué.</w:t>
                  </w:r>
                </w:p>
                <w:p w14:paraId="5415978E"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Lack of cooperation</w:t>
                  </w:r>
                </w:p>
                <w:p w14:paraId="5B640D95"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ARTICLE 13 -</w:t>
                  </w:r>
                  <w:r w:rsidRPr="00E75387">
                    <w:rPr>
                      <w:rFonts w:ascii="Times New Roman" w:eastAsia="Times New Roman" w:hAnsi="Times New Roman" w:cs="Times New Roman"/>
                      <w:sz w:val="18"/>
                      <w:szCs w:val="18"/>
                    </w:rPr>
                    <w:t> (1) In the event that one of the concerned parties fails to provide the necessary information and documents within the given time and in the desired form within the framework of the Regulation, it is understood that it prevents the investigation or gives false or misleading information. it is considered not to cooperate. In such cases, temporary or final determinations within the scope of the investigation can be made either positively or negatively, based on the available data.</w:t>
                  </w:r>
                </w:p>
                <w:p w14:paraId="2869F5A8"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sz w:val="18"/>
                      <w:szCs w:val="18"/>
                    </w:rPr>
                    <w:t>(2) In case the related parties do not cooperate or partially cooperate, the outcome of the investigation may be less advantageous for that party than the cooperation.</w:t>
                  </w:r>
                </w:p>
                <w:p w14:paraId="0401F06C"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The start date of the investigation</w:t>
                  </w:r>
                </w:p>
                <w:p w14:paraId="59711029"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ARTICLE 14 -</w:t>
                  </w:r>
                  <w:r w:rsidRPr="00E75387">
                    <w:rPr>
                      <w:rFonts w:ascii="Times New Roman" w:eastAsia="Times New Roman" w:hAnsi="Times New Roman" w:cs="Times New Roman"/>
                      <w:sz w:val="18"/>
                      <w:szCs w:val="18"/>
                    </w:rPr>
                    <w:t> (1) The investigation is deemed to have started on the date of publication of this Communiqué.</w:t>
                  </w:r>
                </w:p>
                <w:p w14:paraId="6185E62F"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Force</w:t>
                  </w:r>
                </w:p>
                <w:p w14:paraId="68DC8B7D"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ARTICLE 15 -</w:t>
                  </w:r>
                  <w:r w:rsidRPr="00E75387">
                    <w:rPr>
                      <w:rFonts w:ascii="Times New Roman" w:eastAsia="Times New Roman" w:hAnsi="Times New Roman" w:cs="Times New Roman"/>
                      <w:sz w:val="18"/>
                      <w:szCs w:val="18"/>
                    </w:rPr>
                    <w:t> (1) This Communiqué enters into force on the date of publication.</w:t>
                  </w:r>
                </w:p>
                <w:p w14:paraId="6FE02242"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Executive</w:t>
                  </w:r>
                </w:p>
                <w:p w14:paraId="048F34BE" w14:textId="77777777" w:rsidR="00E75387" w:rsidRPr="00E75387" w:rsidRDefault="00E75387" w:rsidP="00E75387">
                  <w:pPr>
                    <w:spacing w:after="0" w:line="240" w:lineRule="atLeast"/>
                    <w:ind w:firstLine="566"/>
                    <w:jc w:val="both"/>
                    <w:rPr>
                      <w:rFonts w:ascii="Times New Roman" w:eastAsia="Times New Roman" w:hAnsi="Times New Roman" w:cs="Times New Roman"/>
                      <w:sz w:val="19"/>
                      <w:szCs w:val="19"/>
                    </w:rPr>
                  </w:pPr>
                  <w:r w:rsidRPr="00E75387">
                    <w:rPr>
                      <w:rFonts w:ascii="Times New Roman" w:eastAsia="Times New Roman" w:hAnsi="Times New Roman" w:cs="Times New Roman"/>
                      <w:b/>
                      <w:bCs/>
                      <w:sz w:val="18"/>
                      <w:szCs w:val="18"/>
                    </w:rPr>
                    <w:t>ARTICLE 16 -</w:t>
                  </w:r>
                  <w:r w:rsidRPr="00E75387">
                    <w:rPr>
                      <w:rFonts w:ascii="Times New Roman" w:eastAsia="Times New Roman" w:hAnsi="Times New Roman" w:cs="Times New Roman"/>
                      <w:sz w:val="18"/>
                      <w:szCs w:val="18"/>
                    </w:rPr>
                    <w:t> (1) The provisions of this Communiqué are executed by the Minister of Trade.</w:t>
                  </w:r>
                </w:p>
                <w:p w14:paraId="04E70CC2" w14:textId="77777777" w:rsidR="00E75387" w:rsidRPr="00E75387" w:rsidRDefault="00E75387" w:rsidP="00E75387">
                  <w:pPr>
                    <w:spacing w:before="100" w:beforeAutospacing="1" w:after="100" w:afterAutospacing="1" w:line="240" w:lineRule="auto"/>
                    <w:jc w:val="center"/>
                    <w:rPr>
                      <w:rFonts w:ascii="Times New Roman" w:eastAsia="Times New Roman" w:hAnsi="Times New Roman" w:cs="Times New Roman"/>
                      <w:sz w:val="24"/>
                      <w:szCs w:val="24"/>
                    </w:rPr>
                  </w:pPr>
                  <w:r w:rsidRPr="00E75387">
                    <w:rPr>
                      <w:rFonts w:ascii="Arial" w:eastAsia="Times New Roman" w:hAnsi="Arial" w:cs="Arial"/>
                      <w:b/>
                      <w:bCs/>
                      <w:color w:val="000080"/>
                      <w:sz w:val="18"/>
                      <w:szCs w:val="18"/>
                    </w:rPr>
                    <w:t> </w:t>
                  </w:r>
                </w:p>
              </w:tc>
            </w:tr>
          </w:tbl>
          <w:p w14:paraId="0C2E52D8" w14:textId="77777777" w:rsidR="00E75387" w:rsidRPr="00E75387" w:rsidRDefault="00E75387" w:rsidP="00E75387">
            <w:pPr>
              <w:spacing w:after="0" w:line="240" w:lineRule="auto"/>
              <w:rPr>
                <w:rFonts w:ascii="Times New Roman" w:eastAsia="Times New Roman" w:hAnsi="Times New Roman" w:cs="Times New Roman"/>
                <w:sz w:val="24"/>
                <w:szCs w:val="24"/>
              </w:rPr>
            </w:pPr>
          </w:p>
        </w:tc>
      </w:tr>
    </w:tbl>
    <w:p w14:paraId="1D3236C0" w14:textId="77777777" w:rsidR="00E75387" w:rsidRPr="00E75387" w:rsidRDefault="00E75387" w:rsidP="00E75387">
      <w:pPr>
        <w:spacing w:after="0" w:line="240" w:lineRule="auto"/>
        <w:jc w:val="center"/>
        <w:rPr>
          <w:rFonts w:ascii="Times New Roman" w:eastAsia="Times New Roman" w:hAnsi="Times New Roman" w:cs="Times New Roman"/>
          <w:color w:val="000000"/>
          <w:sz w:val="27"/>
          <w:szCs w:val="27"/>
        </w:rPr>
      </w:pPr>
      <w:r w:rsidRPr="00E75387">
        <w:rPr>
          <w:rFonts w:ascii="Times New Roman" w:eastAsia="Times New Roman" w:hAnsi="Times New Roman" w:cs="Times New Roman"/>
          <w:color w:val="000000"/>
          <w:sz w:val="27"/>
          <w:szCs w:val="27"/>
        </w:rPr>
        <w:lastRenderedPageBreak/>
        <w:t> </w:t>
      </w:r>
    </w:p>
    <w:p w14:paraId="500A4AD6" w14:textId="77777777" w:rsidR="00E43B74" w:rsidRDefault="00E43B74"/>
    <w:sectPr w:rsidR="00E43B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5387"/>
    <w:rsid w:val="006E288E"/>
    <w:rsid w:val="00E43B74"/>
    <w:rsid w:val="00E753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4248C"/>
  <w15:chartTrackingRefBased/>
  <w15:docId w15:val="{E902D6CF-B5AF-4822-B897-5F84AED46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7538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lk11pt">
    <w:name w:val="balk11pt"/>
    <w:basedOn w:val="Normal"/>
    <w:rsid w:val="00E7538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rtabalkbold">
    <w:name w:val="ortabalkbold"/>
    <w:basedOn w:val="Normal"/>
    <w:rsid w:val="00E7538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etin">
    <w:name w:val="metin"/>
    <w:basedOn w:val="Normal"/>
    <w:rsid w:val="00E7538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9766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1840</Words>
  <Characters>10494</Characters>
  <Application>Microsoft Office Word</Application>
  <DocSecurity>0</DocSecurity>
  <Lines>87</Lines>
  <Paragraphs>24</Paragraphs>
  <ScaleCrop>false</ScaleCrop>
  <Company/>
  <LinksUpToDate>false</LinksUpToDate>
  <CharactersWithSpaces>12310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thinkpad x1</dc:creator>
  <cp:keywords/>
  <dc:description/>
  <cp:lastModifiedBy>Duc Phung Gia</cp:lastModifiedBy>
  <cp:revision>2</cp:revision>
  <dcterms:created xsi:type="dcterms:W3CDTF">2020-06-24T07:45:00Z</dcterms:created>
  <dcterms:modified xsi:type="dcterms:W3CDTF">2020-06-26T03:11:00Z</dcterms:modified>
</cp:coreProperties>
</file>